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9274" w14:textId="77777777" w:rsidR="007823E3" w:rsidRPr="001E76BF" w:rsidRDefault="007823E3" w:rsidP="007823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6BF">
        <w:rPr>
          <w:rFonts w:ascii="Times New Roman" w:hAnsi="Times New Roman" w:cs="Times New Roman"/>
          <w:b/>
          <w:sz w:val="36"/>
          <w:szCs w:val="36"/>
        </w:rPr>
        <w:t>Роспотребнадзор о требованиях к учебным изданиям предъявляются к качеству бумаги и полиграфических материалов, печати, набора, формата, переплета</w:t>
      </w:r>
    </w:p>
    <w:p w14:paraId="06E756B1" w14:textId="77777777" w:rsidR="007823E3" w:rsidRDefault="007823E3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5832A" w14:textId="77777777" w:rsidR="00587BEE" w:rsidRPr="00587BEE" w:rsidRDefault="007823E3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87BEE" w:rsidRPr="00587BEE">
        <w:rPr>
          <w:rFonts w:ascii="Times New Roman" w:hAnsi="Times New Roman" w:cs="Times New Roman"/>
          <w:sz w:val="28"/>
          <w:szCs w:val="28"/>
        </w:rPr>
        <w:t>ребования безопасности, предъявляемые к учебным изданиям, ученическим портфелям и ранцам для детей и подростков, установлены положениями:</w:t>
      </w:r>
    </w:p>
    <w:p w14:paraId="2CB5CB4F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◾Закона Российской Федерации от 07.02.1992 № 2300-1 «О защите прав потребителей»,</w:t>
      </w:r>
    </w:p>
    <w:p w14:paraId="554562A6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◾Федерального закона от 30 марта 1999 года № 52-ФЗ «О санитарно-эпидемиологическом благополучии населения»,</w:t>
      </w:r>
    </w:p>
    <w:p w14:paraId="61E6690C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◾технического регламента Таможенного союза «О безопасности продукции, предназначенной для детей и подростков» (ТР ТС 007/2011),</w:t>
      </w:r>
    </w:p>
    <w:p w14:paraId="5F58DD08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◾санитарных правил СанГТиН 2.4.7Л166-02 «Гигиена детей и подростков. Гигиенические требования к изданиям учебным для общего и начального профессионального образования».</w:t>
      </w:r>
    </w:p>
    <w:p w14:paraId="6F24566B" w14:textId="77777777"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Основные гигиенические требования к учебным изданиям предъявляются к качеству бумаги и полиграфических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изделий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</w:r>
    </w:p>
    <w:p w14:paraId="601430E5" w14:textId="77777777"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Важно отметить, что особое внимание необходимо уделять качеству учебного издания для детей младшего школьного возраста, что связано с возрастными особенностями функции зрительного анализатора^ адаптацией нервной системы к образовательному процессу, развитием у них навыка чтения.</w:t>
      </w:r>
    </w:p>
    <w:p w14:paraId="01A49BEF" w14:textId="77777777"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Учебная литература должна отвечать возложенным на нее задачам^ но при этом обеспечивать сохранение здоровья подрастающего поколения.</w:t>
      </w:r>
    </w:p>
    <w:p w14:paraId="22FED207" w14:textId="77777777"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Требования к школьным учебникам касаются как веса, так и оформления книг Появление множества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 При этом, максимальный вес учебника не должен превышать:</w:t>
      </w:r>
    </w:p>
    <w:p w14:paraId="24CC24D9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◾300 г для 1 - 4 классов;</w:t>
      </w:r>
    </w:p>
    <w:p w14:paraId="46AE50B1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◾400 г для 5-6 классов;</w:t>
      </w:r>
    </w:p>
    <w:p w14:paraId="285A6CCF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◾500 г для 7-9 классов;</w:t>
      </w:r>
    </w:p>
    <w:p w14:paraId="300CFC8B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◾600 г для 10-11 классов.</w:t>
      </w:r>
    </w:p>
    <w:p w14:paraId="7D4134F0" w14:textId="77777777"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 xml:space="preserve">Кроме того, с </w:t>
      </w:r>
      <w:r w:rsidR="007823E3">
        <w:rPr>
          <w:rFonts w:ascii="Times New Roman" w:hAnsi="Times New Roman" w:cs="Times New Roman"/>
          <w:sz w:val="28"/>
          <w:szCs w:val="28"/>
        </w:rPr>
        <w:t>2015-2016 учебного года введены</w:t>
      </w:r>
      <w:r w:rsidRPr="00587BEE">
        <w:rPr>
          <w:rFonts w:ascii="Times New Roman" w:hAnsi="Times New Roman" w:cs="Times New Roman"/>
          <w:sz w:val="28"/>
          <w:szCs w:val="28"/>
        </w:rPr>
        <w:t xml:space="preserve"> электронные учебники, которые представляют собой электронный носитель, информация с которого воспроизводится на компьютерах, ноутбуках и др. электронных технических </w:t>
      </w:r>
      <w:r w:rsidRPr="00587BEE">
        <w:rPr>
          <w:rFonts w:ascii="Times New Roman" w:hAnsi="Times New Roman" w:cs="Times New Roman"/>
          <w:sz w:val="28"/>
          <w:szCs w:val="28"/>
        </w:rPr>
        <w:lastRenderedPageBreak/>
        <w:t>средствах. При этом, нормативные требования на сегодняшний день к электронным учебникам не разработаны.</w:t>
      </w:r>
    </w:p>
    <w:p w14:paraId="4998D03A" w14:textId="77777777"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На современном этапе актуальной проблемой здоровья у детей стала проблема формирования и сохранения красивой фигуры и правильной осанки тела. Одной из причин формирования неправильной осанки являются ученические портфели и ранцы.</w:t>
      </w:r>
    </w:p>
    <w:p w14:paraId="0679106C" w14:textId="77777777"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Техническим регламентом Таможенного союза «О безопасности продукции, предназначенной для детей и подростков» (ТР ТС 007/2011) регламентируются размеры, вес, конструкция,  показатели санитарно-химической, токсикологической безопасности материалов, из которых изготовлены ученические портфели и ранцы.</w:t>
      </w:r>
    </w:p>
    <w:p w14:paraId="6D77C06B" w14:textId="77777777"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Маркировка ученических ранцев и портфелей и рюкзаков должна содержать информацию о возрасте пользователя.</w:t>
      </w:r>
    </w:p>
    <w:p w14:paraId="0BD13612" w14:textId="77777777" w:rsidR="001E76BF" w:rsidRDefault="00587BEE" w:rsidP="001E7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Вес портфелей, школьных ранцев и аналогичных изделий должен быть для обучающихся начальных классов не более 700 грамм и для обучающихся средних и старших классов - не более 1000 грамм.</w:t>
      </w:r>
    </w:p>
    <w:p w14:paraId="5FDFEDD6" w14:textId="4C3E445B" w:rsidR="00587BEE" w:rsidRPr="00587BEE" w:rsidRDefault="00587BEE" w:rsidP="001E7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Ученические ранцы для детей младшего школьного возраста должны быть снабжены формоустойчивой спинкой, обеспечивающей его полное прилегание к спине обучающегося и равномерное распределение веса.</w:t>
      </w:r>
    </w:p>
    <w:p w14:paraId="2CB41E22" w14:textId="77777777"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Требования, предъявляемые к размерам изделий для учащихся начальных классов, следующие:</w:t>
      </w:r>
    </w:p>
    <w:p w14:paraId="14F4CDB4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◾длина (высота) - 300 - 360 мм,</w:t>
      </w:r>
    </w:p>
    <w:p w14:paraId="0E843395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◾высота передней стенки - 220 - 260 мм,</w:t>
      </w:r>
    </w:p>
    <w:p w14:paraId="00BB8FA8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◾ширина — 60 - 100 мм,</w:t>
      </w:r>
    </w:p>
    <w:p w14:paraId="3682E02C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◾длина плечевого ремня - не менее 600 - 700 мм,</w:t>
      </w:r>
    </w:p>
    <w:p w14:paraId="55DEBE0B" w14:textId="77777777"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◾ширина плечевого ремня в верхней части (на протяжении 400 - 450 мм) - не менее 35 -40 мм.</w:t>
      </w:r>
      <w:r w:rsidR="00C66CF2">
        <w:rPr>
          <w:rFonts w:ascii="Times New Roman" w:hAnsi="Times New Roman" w:cs="Times New Roman"/>
          <w:sz w:val="28"/>
          <w:szCs w:val="28"/>
        </w:rPr>
        <w:t xml:space="preserve"> </w:t>
      </w:r>
      <w:r w:rsidRPr="00587BEE">
        <w:rPr>
          <w:rFonts w:ascii="Times New Roman" w:hAnsi="Times New Roman" w:cs="Times New Roman"/>
          <w:sz w:val="28"/>
          <w:szCs w:val="28"/>
        </w:rPr>
        <w:t>Допускается увеличение размеров не более чем на 30 мм.</w:t>
      </w:r>
    </w:p>
    <w:p w14:paraId="5D2D8AEE" w14:textId="77777777"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</w:r>
    </w:p>
    <w:p w14:paraId="3737AB9F" w14:textId="77777777" w:rsidR="00930229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Кроме того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</w:t>
      </w:r>
    </w:p>
    <w:sectPr w:rsidR="00930229" w:rsidRPr="0058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DB"/>
    <w:rsid w:val="001E76BF"/>
    <w:rsid w:val="002406DB"/>
    <w:rsid w:val="00587BEE"/>
    <w:rsid w:val="005C64AA"/>
    <w:rsid w:val="007823E3"/>
    <w:rsid w:val="00C56BDA"/>
    <w:rsid w:val="00C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5691"/>
  <w15:docId w15:val="{85B4F093-4241-434C-B328-2D5BF0A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7</cp:revision>
  <dcterms:created xsi:type="dcterms:W3CDTF">2018-07-19T07:07:00Z</dcterms:created>
  <dcterms:modified xsi:type="dcterms:W3CDTF">2020-08-17T08:05:00Z</dcterms:modified>
</cp:coreProperties>
</file>